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sz w:val="19"/>
        </w:rPr>
      </w:pPr>
    </w:p>
    <w:p>
      <w:pPr>
        <w:pStyle w:val="Title"/>
        <w:spacing w:line="720" w:lineRule="auto"/>
      </w:pPr>
      <w:r>
        <w:rPr/>
        <w:t>CONSELHO NACIONAL DE SAÚDE RESOLUÇÃO Nº 304 DE 09 DE AGOSTO DE 2000</w:t>
      </w:r>
    </w:p>
    <w:p>
      <w:pPr>
        <w:pStyle w:val="BodyText"/>
        <w:spacing w:line="185" w:lineRule="exact"/>
        <w:ind w:left="970"/>
      </w:pPr>
      <w:r>
        <w:rPr/>
        <w:t>O Plenário do Conselho Nacional de Saúde, em sua Centésima Reunião Ordinária, realizada nos dias 09 e</w:t>
      </w:r>
    </w:p>
    <w:p>
      <w:pPr>
        <w:pStyle w:val="BodyText"/>
        <w:spacing w:before="1"/>
        <w:ind w:right="121"/>
        <w:rPr>
          <w:b/>
        </w:rPr>
      </w:pPr>
      <w:r>
        <w:rPr/>
        <w:t>10 de agosto de 2000, no uso de suas competências regimentais e atribuições conferidas pela Lei nº 8.080, de 19 de setembro de 1990, e pela Lei nº 8.142, de 28 de dezembro de 1990, e </w:t>
      </w:r>
      <w:r>
        <w:rPr>
          <w:b/>
        </w:rPr>
        <w:t>Considerando:</w:t>
      </w:r>
    </w:p>
    <w:p>
      <w:pPr>
        <w:pStyle w:val="ListParagraph"/>
        <w:numPr>
          <w:ilvl w:val="0"/>
          <w:numId w:val="1"/>
        </w:numPr>
        <w:tabs>
          <w:tab w:pos="1136" w:val="left" w:leader="none"/>
        </w:tabs>
        <w:spacing w:line="240" w:lineRule="auto" w:before="1" w:after="0"/>
        <w:ind w:left="117" w:right="120" w:firstLine="852"/>
        <w:jc w:val="both"/>
        <w:rPr>
          <w:sz w:val="20"/>
        </w:rPr>
      </w:pPr>
      <w:r>
        <w:rPr>
          <w:sz w:val="20"/>
        </w:rPr>
        <w:t>A necessidade de regulamentação complementar da Resolução CNS nº 196/96 (Diretrizes e Normas Regulamentadoras de Pesquisas Envolvendo Seres Humanos), atribuição da CONEP conforme item VIII.4.d da mesma Resolução, no que diz respeito à área temática especial “populações indígenas” (item</w:t>
      </w:r>
      <w:r>
        <w:rPr>
          <w:spacing w:val="-22"/>
          <w:sz w:val="20"/>
        </w:rPr>
        <w:t> </w:t>
      </w:r>
      <w:r>
        <w:rPr>
          <w:sz w:val="20"/>
        </w:rPr>
        <w:t>VIII.4.c.6).</w:t>
      </w:r>
    </w:p>
    <w:p>
      <w:pPr>
        <w:pStyle w:val="Heading1"/>
        <w:spacing w:line="226" w:lineRule="exact"/>
        <w:jc w:val="left"/>
      </w:pPr>
      <w:r>
        <w:rPr/>
        <w:t>Resolve;</w:t>
      </w:r>
    </w:p>
    <w:p>
      <w:pPr>
        <w:pStyle w:val="ListParagraph"/>
        <w:numPr>
          <w:ilvl w:val="0"/>
          <w:numId w:val="1"/>
        </w:numPr>
        <w:tabs>
          <w:tab w:pos="1093" w:val="left" w:leader="none"/>
        </w:tabs>
        <w:spacing w:line="229" w:lineRule="exact" w:before="3" w:after="0"/>
        <w:ind w:left="1092" w:right="0" w:hanging="123"/>
        <w:jc w:val="left"/>
        <w:rPr>
          <w:sz w:val="20"/>
        </w:rPr>
      </w:pPr>
      <w:r>
        <w:rPr>
          <w:sz w:val="20"/>
        </w:rPr>
        <w:t>Aprovar as seguintes Normas para Pesquisas Envolvendo Seres Humanos – Área de Povos</w:t>
      </w:r>
      <w:r>
        <w:rPr>
          <w:spacing w:val="-13"/>
          <w:sz w:val="20"/>
        </w:rPr>
        <w:t> </w:t>
      </w:r>
      <w:r>
        <w:rPr>
          <w:sz w:val="20"/>
        </w:rPr>
        <w:t>Indígenas.</w:t>
      </w:r>
    </w:p>
    <w:p>
      <w:pPr>
        <w:pStyle w:val="Heading1"/>
        <w:numPr>
          <w:ilvl w:val="0"/>
          <w:numId w:val="2"/>
        </w:numPr>
        <w:tabs>
          <w:tab w:pos="1081" w:val="left" w:leader="none"/>
        </w:tabs>
        <w:spacing w:line="229" w:lineRule="exact" w:before="0" w:after="0"/>
        <w:ind w:left="1080" w:right="0" w:hanging="111"/>
        <w:jc w:val="left"/>
      </w:pPr>
      <w:r>
        <w:rPr/>
        <w:t>–</w:t>
      </w:r>
      <w:r>
        <w:rPr>
          <w:spacing w:val="-2"/>
        </w:rPr>
        <w:t> </w:t>
      </w:r>
      <w:r>
        <w:rPr/>
        <w:t>Preâmbulo</w:t>
      </w:r>
    </w:p>
    <w:p>
      <w:pPr>
        <w:pStyle w:val="BodyText"/>
        <w:spacing w:before="3"/>
        <w:ind w:right="118" w:firstLine="852"/>
      </w:pPr>
      <w:r>
        <w:rPr/>
        <w:t>A presente resolução procura afirmar o respeito devido aos direitos dos povos indígenas no que se refere  ao desenvolvimento teórico e prático de pesquisa em seres humanos que envolvam a vida, os territórios, as culturas  e os recursos naturais dos povos indígenas do Brasil. Reconhece ainda o direito de participação dos índios nas decisões que os afetem.</w:t>
      </w:r>
    </w:p>
    <w:p>
      <w:pPr>
        <w:pStyle w:val="BodyText"/>
        <w:ind w:right="115" w:firstLine="852"/>
      </w:pPr>
      <w:r>
        <w:rPr/>
        <w:t>Estas normas incorporam, as diretrizes já previstas na Resolução 196/96, do Conselho Nacional de Saúde, e fundamenta-se nos principais documentos internacionais sobre direitos humanos da ONU, em particular a Convenção 169 sobre Povos Indígenas e Tribais em Países Independentes e Resolução sobre a Ação da </w:t>
      </w:r>
      <w:r>
        <w:rPr>
          <w:spacing w:val="3"/>
        </w:rPr>
        <w:t>OIT- </w:t>
      </w:r>
      <w:r>
        <w:rPr/>
        <w:t>Organização Internacional do Trabalho - Concernente aos Povos Indígenas e Tribais, de 1989,da Constituição da República Federativa do Brasil ( Título VIII, Capítulo VIII Dos Índios ) e de toda a legislação nacional de amparo e respeito aos direitos dos povos indígenas enquanto sujeitos individuais e coletivos de</w:t>
      </w:r>
      <w:r>
        <w:rPr>
          <w:spacing w:val="-4"/>
        </w:rPr>
        <w:t> </w:t>
      </w:r>
      <w:r>
        <w:rPr/>
        <w:t>pesquisa.</w:t>
      </w:r>
    </w:p>
    <w:p>
      <w:pPr>
        <w:pStyle w:val="BodyText"/>
        <w:ind w:right="115" w:firstLine="852"/>
      </w:pPr>
      <w:r>
        <w:rPr/>
        <w:t>As pesquisas envolvendo comunidades ou indivíduos indígenas devem corresponder e atender às exigências éticas e científicas indicadas na Res. CNS 196/96 que contém as diretrizes e normas regulamentadoras  de pesquisas envolvendo seres humanos e suas complementares. Em especial deve-se atender também à Resolução CNS 292/99 sobre pesquisa com cooperação estrangeira, além de outras resoluções do CNS sobre ética em pesquisa, os Decretos 86715 de 10/12/81 e 96830, de 15/01/90 que regulamentam o visto temporário para estrangeiros.</w:t>
      </w:r>
    </w:p>
    <w:p>
      <w:pPr>
        <w:pStyle w:val="Heading1"/>
        <w:numPr>
          <w:ilvl w:val="0"/>
          <w:numId w:val="2"/>
        </w:numPr>
        <w:tabs>
          <w:tab w:pos="1136" w:val="left" w:leader="none"/>
        </w:tabs>
        <w:spacing w:line="228" w:lineRule="exact" w:before="0" w:after="0"/>
        <w:ind w:left="1135" w:right="0" w:hanging="166"/>
        <w:jc w:val="both"/>
      </w:pPr>
      <w:r>
        <w:rPr/>
        <w:t>– Termos e</w:t>
      </w:r>
      <w:r>
        <w:rPr>
          <w:spacing w:val="-2"/>
        </w:rPr>
        <w:t> </w:t>
      </w:r>
      <w:r>
        <w:rPr/>
        <w:t>Definições</w:t>
      </w:r>
    </w:p>
    <w:p>
      <w:pPr>
        <w:pStyle w:val="BodyText"/>
        <w:spacing w:line="228" w:lineRule="exact" w:before="2"/>
        <w:ind w:left="970"/>
      </w:pPr>
      <w:r>
        <w:rPr/>
        <w:t>A presente resolução adota no seu âmbito as seguintes definições:</w:t>
      </w:r>
    </w:p>
    <w:p>
      <w:pPr>
        <w:pStyle w:val="ListParagraph"/>
        <w:numPr>
          <w:ilvl w:val="0"/>
          <w:numId w:val="3"/>
        </w:numPr>
        <w:tabs>
          <w:tab w:pos="1146" w:val="left" w:leader="none"/>
        </w:tabs>
        <w:spacing w:line="242" w:lineRule="auto" w:before="0" w:after="0"/>
        <w:ind w:left="117" w:right="121" w:firstLine="852"/>
        <w:jc w:val="both"/>
        <w:rPr>
          <w:sz w:val="20"/>
        </w:rPr>
      </w:pPr>
      <w:r>
        <w:rPr>
          <w:b/>
          <w:sz w:val="20"/>
        </w:rPr>
        <w:t>- Povos Indígenas – </w:t>
      </w:r>
      <w:r>
        <w:rPr>
          <w:sz w:val="20"/>
        </w:rPr>
        <w:t>povos com organizações e identidades próprias, em virtude da consciência de sua continuidade histórica como sociedades pré</w:t>
      </w:r>
      <w:r>
        <w:rPr>
          <w:spacing w:val="-2"/>
          <w:sz w:val="20"/>
        </w:rPr>
        <w:t> </w:t>
      </w:r>
      <w:r>
        <w:rPr>
          <w:sz w:val="20"/>
        </w:rPr>
        <w:t>–colombianas.</w:t>
      </w:r>
    </w:p>
    <w:p>
      <w:pPr>
        <w:pStyle w:val="ListParagraph"/>
        <w:numPr>
          <w:ilvl w:val="0"/>
          <w:numId w:val="3"/>
        </w:numPr>
        <w:tabs>
          <w:tab w:pos="1170" w:val="left" w:leader="none"/>
        </w:tabs>
        <w:spacing w:line="226" w:lineRule="exact" w:before="0" w:after="0"/>
        <w:ind w:left="1169" w:right="0" w:hanging="200"/>
        <w:jc w:val="both"/>
        <w:rPr>
          <w:sz w:val="20"/>
        </w:rPr>
      </w:pPr>
      <w:r>
        <w:rPr>
          <w:b/>
          <w:sz w:val="20"/>
        </w:rPr>
        <w:t>-</w:t>
      </w:r>
      <w:r>
        <w:rPr>
          <w:b/>
          <w:spacing w:val="32"/>
          <w:sz w:val="20"/>
        </w:rPr>
        <w:t> </w:t>
      </w:r>
      <w:r>
        <w:rPr>
          <w:b/>
          <w:sz w:val="20"/>
        </w:rPr>
        <w:t>Índio</w:t>
      </w:r>
      <w:r>
        <w:rPr>
          <w:b/>
          <w:spacing w:val="32"/>
          <w:sz w:val="20"/>
        </w:rPr>
        <w:t> </w:t>
      </w:r>
      <w:r>
        <w:rPr>
          <w:b/>
          <w:sz w:val="20"/>
        </w:rPr>
        <w:t>–</w:t>
      </w:r>
      <w:r>
        <w:rPr>
          <w:b/>
          <w:spacing w:val="34"/>
          <w:sz w:val="20"/>
        </w:rPr>
        <w:t> </w:t>
      </w:r>
      <w:r>
        <w:rPr>
          <w:sz w:val="20"/>
        </w:rPr>
        <w:t>quem</w:t>
      </w:r>
      <w:r>
        <w:rPr>
          <w:spacing w:val="35"/>
          <w:sz w:val="20"/>
        </w:rPr>
        <w:t> </w:t>
      </w:r>
      <w:r>
        <w:rPr>
          <w:sz w:val="20"/>
        </w:rPr>
        <w:t>se</w:t>
      </w:r>
      <w:r>
        <w:rPr>
          <w:spacing w:val="31"/>
          <w:sz w:val="20"/>
        </w:rPr>
        <w:t> </w:t>
      </w:r>
      <w:r>
        <w:rPr>
          <w:sz w:val="20"/>
        </w:rPr>
        <w:t>considera</w:t>
      </w:r>
      <w:r>
        <w:rPr>
          <w:spacing w:val="34"/>
          <w:sz w:val="20"/>
        </w:rPr>
        <w:t> </w:t>
      </w:r>
      <w:r>
        <w:rPr>
          <w:sz w:val="20"/>
        </w:rPr>
        <w:t>pertencente</w:t>
      </w:r>
      <w:r>
        <w:rPr>
          <w:spacing w:val="31"/>
          <w:sz w:val="20"/>
        </w:rPr>
        <w:t> </w:t>
      </w:r>
      <w:r>
        <w:rPr>
          <w:sz w:val="20"/>
        </w:rPr>
        <w:t>a</w:t>
      </w:r>
      <w:r>
        <w:rPr>
          <w:spacing w:val="33"/>
          <w:sz w:val="20"/>
        </w:rPr>
        <w:t> </w:t>
      </w:r>
      <w:r>
        <w:rPr>
          <w:sz w:val="20"/>
        </w:rPr>
        <w:t>uma</w:t>
      </w:r>
      <w:r>
        <w:rPr>
          <w:spacing w:val="32"/>
          <w:sz w:val="20"/>
        </w:rPr>
        <w:t> </w:t>
      </w:r>
      <w:r>
        <w:rPr>
          <w:sz w:val="20"/>
        </w:rPr>
        <w:t>comunidade</w:t>
      </w:r>
      <w:r>
        <w:rPr>
          <w:spacing w:val="33"/>
          <w:sz w:val="20"/>
        </w:rPr>
        <w:t> </w:t>
      </w:r>
      <w:r>
        <w:rPr>
          <w:sz w:val="20"/>
        </w:rPr>
        <w:t>indígena</w:t>
      </w:r>
      <w:r>
        <w:rPr>
          <w:spacing w:val="33"/>
          <w:sz w:val="20"/>
        </w:rPr>
        <w:t> </w:t>
      </w:r>
      <w:r>
        <w:rPr>
          <w:sz w:val="20"/>
        </w:rPr>
        <w:t>e</w:t>
      </w:r>
      <w:r>
        <w:rPr>
          <w:spacing w:val="34"/>
          <w:sz w:val="20"/>
        </w:rPr>
        <w:t> </w:t>
      </w:r>
      <w:r>
        <w:rPr>
          <w:sz w:val="20"/>
        </w:rPr>
        <w:t>é</w:t>
      </w:r>
      <w:r>
        <w:rPr>
          <w:spacing w:val="33"/>
          <w:sz w:val="20"/>
        </w:rPr>
        <w:t> </w:t>
      </w:r>
      <w:r>
        <w:rPr>
          <w:sz w:val="20"/>
        </w:rPr>
        <w:t>por</w:t>
      </w:r>
      <w:r>
        <w:rPr>
          <w:spacing w:val="32"/>
          <w:sz w:val="20"/>
        </w:rPr>
        <w:t> </w:t>
      </w:r>
      <w:r>
        <w:rPr>
          <w:sz w:val="20"/>
        </w:rPr>
        <w:t>ela</w:t>
      </w:r>
      <w:r>
        <w:rPr>
          <w:spacing w:val="32"/>
          <w:sz w:val="20"/>
        </w:rPr>
        <w:t> </w:t>
      </w:r>
      <w:r>
        <w:rPr>
          <w:sz w:val="20"/>
        </w:rPr>
        <w:t>reconhecido</w:t>
      </w:r>
      <w:r>
        <w:rPr>
          <w:spacing w:val="32"/>
          <w:sz w:val="20"/>
        </w:rPr>
        <w:t> </w:t>
      </w:r>
      <w:r>
        <w:rPr>
          <w:sz w:val="20"/>
        </w:rPr>
        <w:t>como</w:t>
      </w:r>
    </w:p>
    <w:p>
      <w:pPr>
        <w:pStyle w:val="BodyText"/>
        <w:spacing w:line="229" w:lineRule="exact" w:before="1"/>
        <w:jc w:val="left"/>
      </w:pPr>
      <w:r>
        <w:rPr/>
        <w:t>membro.</w:t>
      </w:r>
    </w:p>
    <w:p>
      <w:pPr>
        <w:pStyle w:val="ListParagraph"/>
        <w:numPr>
          <w:ilvl w:val="0"/>
          <w:numId w:val="3"/>
        </w:numPr>
        <w:tabs>
          <w:tab w:pos="1186" w:val="left" w:leader="none"/>
          <w:tab w:pos="2159" w:val="left" w:leader="none"/>
        </w:tabs>
        <w:spacing w:line="229" w:lineRule="exact" w:before="0" w:after="0"/>
        <w:ind w:left="1186" w:right="0" w:hanging="216"/>
        <w:jc w:val="left"/>
        <w:rPr>
          <w:sz w:val="20"/>
        </w:rPr>
      </w:pPr>
      <w:r>
        <w:rPr>
          <w:b/>
          <w:sz w:val="20"/>
        </w:rPr>
        <w:t>-</w:t>
      </w:r>
      <w:r>
        <w:rPr>
          <w:b/>
          <w:spacing w:val="49"/>
          <w:sz w:val="20"/>
        </w:rPr>
        <w:t> </w:t>
      </w:r>
      <w:r>
        <w:rPr>
          <w:b/>
          <w:sz w:val="20"/>
        </w:rPr>
        <w:t>Índios</w:t>
        <w:tab/>
        <w:t>Isolados</w:t>
      </w:r>
      <w:r>
        <w:rPr>
          <w:b/>
          <w:spacing w:val="49"/>
          <w:sz w:val="20"/>
        </w:rPr>
        <w:t> </w:t>
      </w:r>
      <w:r>
        <w:rPr>
          <w:sz w:val="20"/>
        </w:rPr>
        <w:t>–</w:t>
      </w:r>
      <w:r>
        <w:rPr>
          <w:spacing w:val="51"/>
          <w:sz w:val="20"/>
        </w:rPr>
        <w:t> </w:t>
      </w:r>
      <w:r>
        <w:rPr>
          <w:sz w:val="20"/>
        </w:rPr>
        <w:t>indivíduos</w:t>
      </w:r>
      <w:r>
        <w:rPr>
          <w:spacing w:val="49"/>
          <w:sz w:val="20"/>
        </w:rPr>
        <w:t> </w:t>
      </w:r>
      <w:r>
        <w:rPr>
          <w:sz w:val="20"/>
        </w:rPr>
        <w:t>ou</w:t>
      </w:r>
      <w:r>
        <w:rPr>
          <w:spacing w:val="47"/>
          <w:sz w:val="20"/>
        </w:rPr>
        <w:t> </w:t>
      </w:r>
      <w:r>
        <w:rPr>
          <w:sz w:val="20"/>
        </w:rPr>
        <w:t>grupos</w:t>
      </w:r>
      <w:r>
        <w:rPr>
          <w:spacing w:val="49"/>
          <w:sz w:val="20"/>
        </w:rPr>
        <w:t> </w:t>
      </w:r>
      <w:r>
        <w:rPr>
          <w:sz w:val="20"/>
        </w:rPr>
        <w:t>que</w:t>
      </w:r>
      <w:r>
        <w:rPr>
          <w:spacing w:val="49"/>
          <w:sz w:val="20"/>
        </w:rPr>
        <w:t> </w:t>
      </w:r>
      <w:r>
        <w:rPr>
          <w:sz w:val="20"/>
        </w:rPr>
        <w:t>evitam</w:t>
      </w:r>
      <w:r>
        <w:rPr>
          <w:spacing w:val="52"/>
          <w:sz w:val="20"/>
        </w:rPr>
        <w:t> </w:t>
      </w:r>
      <w:r>
        <w:rPr>
          <w:sz w:val="20"/>
        </w:rPr>
        <w:t>ou</w:t>
      </w:r>
      <w:r>
        <w:rPr>
          <w:spacing w:val="47"/>
          <w:sz w:val="20"/>
        </w:rPr>
        <w:t> </w:t>
      </w:r>
      <w:r>
        <w:rPr>
          <w:sz w:val="20"/>
        </w:rPr>
        <w:t>não</w:t>
      </w:r>
      <w:r>
        <w:rPr>
          <w:spacing w:val="48"/>
          <w:sz w:val="20"/>
        </w:rPr>
        <w:t> </w:t>
      </w:r>
      <w:r>
        <w:rPr>
          <w:sz w:val="20"/>
        </w:rPr>
        <w:t>estão</w:t>
      </w:r>
      <w:r>
        <w:rPr>
          <w:spacing w:val="49"/>
          <w:sz w:val="20"/>
        </w:rPr>
        <w:t> </w:t>
      </w:r>
      <w:r>
        <w:rPr>
          <w:sz w:val="20"/>
        </w:rPr>
        <w:t>em</w:t>
      </w:r>
      <w:r>
        <w:rPr>
          <w:spacing w:val="49"/>
          <w:sz w:val="20"/>
        </w:rPr>
        <w:t> </w:t>
      </w:r>
      <w:r>
        <w:rPr>
          <w:sz w:val="20"/>
        </w:rPr>
        <w:t>contato</w:t>
      </w:r>
      <w:r>
        <w:rPr>
          <w:spacing w:val="50"/>
          <w:sz w:val="20"/>
        </w:rPr>
        <w:t> </w:t>
      </w:r>
      <w:r>
        <w:rPr>
          <w:sz w:val="20"/>
        </w:rPr>
        <w:t>com</w:t>
      </w:r>
      <w:r>
        <w:rPr>
          <w:spacing w:val="52"/>
          <w:sz w:val="20"/>
        </w:rPr>
        <w:t> </w:t>
      </w:r>
      <w:r>
        <w:rPr>
          <w:sz w:val="20"/>
        </w:rPr>
        <w:t>a</w:t>
      </w:r>
      <w:r>
        <w:rPr>
          <w:spacing w:val="47"/>
          <w:sz w:val="20"/>
        </w:rPr>
        <w:t> </w:t>
      </w:r>
      <w:r>
        <w:rPr>
          <w:sz w:val="20"/>
        </w:rPr>
        <w:t>sociedade</w:t>
      </w:r>
    </w:p>
    <w:p>
      <w:pPr>
        <w:pStyle w:val="BodyText"/>
        <w:spacing w:line="228" w:lineRule="exact" w:before="3"/>
        <w:jc w:val="left"/>
      </w:pPr>
      <w:r>
        <w:rPr/>
        <w:t>envolvente.</w:t>
      </w:r>
    </w:p>
    <w:p>
      <w:pPr>
        <w:pStyle w:val="Heading1"/>
        <w:numPr>
          <w:ilvl w:val="0"/>
          <w:numId w:val="2"/>
        </w:numPr>
        <w:tabs>
          <w:tab w:pos="1191" w:val="left" w:leader="none"/>
        </w:tabs>
        <w:spacing w:line="228" w:lineRule="exact" w:before="0" w:after="0"/>
        <w:ind w:left="1190" w:right="0" w:hanging="221"/>
        <w:jc w:val="both"/>
      </w:pPr>
      <w:r>
        <w:rPr/>
        <w:t>- Aspectos Éticos da pesquisa envolvendo povos</w:t>
      </w:r>
      <w:r>
        <w:rPr>
          <w:spacing w:val="3"/>
        </w:rPr>
        <w:t> </w:t>
      </w:r>
      <w:r>
        <w:rPr/>
        <w:t>indígenas.</w:t>
      </w:r>
    </w:p>
    <w:p>
      <w:pPr>
        <w:pStyle w:val="BodyText"/>
        <w:spacing w:before="3"/>
        <w:ind w:right="124" w:firstLine="852"/>
      </w:pPr>
      <w:r>
        <w:rPr/>
        <w:t>As pesquisas envolvendo povos indígenas devem obedecer também aos referenciais da bioética, considerando-se as peculiaridades de cada povo e/ou comunidade.</w:t>
      </w:r>
    </w:p>
    <w:p>
      <w:pPr>
        <w:pStyle w:val="ListParagraph"/>
        <w:numPr>
          <w:ilvl w:val="0"/>
          <w:numId w:val="4"/>
        </w:numPr>
        <w:tabs>
          <w:tab w:pos="1234" w:val="left" w:leader="none"/>
        </w:tabs>
        <w:spacing w:line="240" w:lineRule="auto" w:before="0" w:after="0"/>
        <w:ind w:left="117" w:right="116" w:firstLine="852"/>
        <w:jc w:val="both"/>
        <w:rPr>
          <w:sz w:val="20"/>
        </w:rPr>
      </w:pPr>
      <w:r>
        <w:rPr>
          <w:sz w:val="20"/>
        </w:rPr>
        <w:t>- Os benefícios e vantagens resultantes do desenvolvimento de pesquisa, devem atender às necessidades de indivíduos ou grupos alvo do estudo, ou das sociedades afins e/ou da sociedade nacional, levando- se em consideração a promoção e manutenção do bem estar , a conservação e proteção da diversidade biológica, cultural, a saúde individual e coletiva e a contribuição ao desenvolvimento do conhecimento e tecnologia</w:t>
      </w:r>
      <w:r>
        <w:rPr>
          <w:spacing w:val="-28"/>
          <w:sz w:val="20"/>
        </w:rPr>
        <w:t> </w:t>
      </w:r>
      <w:r>
        <w:rPr>
          <w:sz w:val="20"/>
        </w:rPr>
        <w:t>próprias.</w:t>
      </w:r>
    </w:p>
    <w:p>
      <w:pPr>
        <w:pStyle w:val="ListParagraph"/>
        <w:numPr>
          <w:ilvl w:val="0"/>
          <w:numId w:val="4"/>
        </w:numPr>
        <w:tabs>
          <w:tab w:pos="1136" w:val="left" w:leader="none"/>
        </w:tabs>
        <w:spacing w:line="229" w:lineRule="exact" w:before="0" w:after="0"/>
        <w:ind w:left="1135" w:right="0" w:hanging="166"/>
        <w:jc w:val="both"/>
        <w:rPr>
          <w:sz w:val="20"/>
        </w:rPr>
      </w:pPr>
      <w:r>
        <w:rPr>
          <w:sz w:val="20"/>
        </w:rPr>
        <w:t>- Qualquer pesquisa envolvendo a pessoa do índio ou a sua comunidade deve</w:t>
      </w:r>
      <w:r>
        <w:rPr>
          <w:spacing w:val="-4"/>
          <w:sz w:val="20"/>
        </w:rPr>
        <w:t> </w:t>
      </w:r>
      <w:r>
        <w:rPr>
          <w:sz w:val="20"/>
        </w:rPr>
        <w:t>:</w:t>
      </w:r>
    </w:p>
    <w:p>
      <w:pPr>
        <w:pStyle w:val="ListParagraph"/>
        <w:numPr>
          <w:ilvl w:val="1"/>
          <w:numId w:val="4"/>
        </w:numPr>
        <w:tabs>
          <w:tab w:pos="1318" w:val="left" w:leader="none"/>
        </w:tabs>
        <w:spacing w:line="242" w:lineRule="auto" w:before="0" w:after="0"/>
        <w:ind w:left="117" w:right="122" w:firstLine="852"/>
        <w:jc w:val="left"/>
        <w:rPr>
          <w:sz w:val="20"/>
        </w:rPr>
      </w:pPr>
      <w:r>
        <w:rPr>
          <w:sz w:val="20"/>
        </w:rPr>
        <w:t>– Respeitar a visão de mundo, os costumes, atitudes estéticas, crenças religiosas, organização social, filosofias peculiares, diferenças lingüísticas e estrutura</w:t>
      </w:r>
      <w:r>
        <w:rPr>
          <w:spacing w:val="-4"/>
          <w:sz w:val="20"/>
        </w:rPr>
        <w:t> </w:t>
      </w:r>
      <w:r>
        <w:rPr>
          <w:sz w:val="20"/>
        </w:rPr>
        <w:t>política;</w:t>
      </w:r>
    </w:p>
    <w:p>
      <w:pPr>
        <w:pStyle w:val="ListParagraph"/>
        <w:numPr>
          <w:ilvl w:val="1"/>
          <w:numId w:val="4"/>
        </w:numPr>
        <w:tabs>
          <w:tab w:pos="1302" w:val="left" w:leader="none"/>
        </w:tabs>
        <w:spacing w:line="226" w:lineRule="exact" w:before="0" w:after="0"/>
        <w:ind w:left="1301" w:right="0" w:hanging="332"/>
        <w:jc w:val="left"/>
        <w:rPr>
          <w:sz w:val="20"/>
        </w:rPr>
      </w:pPr>
      <w:r>
        <w:rPr>
          <w:sz w:val="20"/>
        </w:rPr>
        <w:t>- Não admitir exploração física, mental, psicológica ou intelectual e social dos</w:t>
      </w:r>
      <w:r>
        <w:rPr>
          <w:spacing w:val="-13"/>
          <w:sz w:val="20"/>
        </w:rPr>
        <w:t> </w:t>
      </w:r>
      <w:r>
        <w:rPr>
          <w:sz w:val="20"/>
        </w:rPr>
        <w:t>indígenas;</w:t>
      </w:r>
    </w:p>
    <w:p>
      <w:pPr>
        <w:pStyle w:val="ListParagraph"/>
        <w:numPr>
          <w:ilvl w:val="1"/>
          <w:numId w:val="4"/>
        </w:numPr>
        <w:tabs>
          <w:tab w:pos="1302" w:val="left" w:leader="none"/>
        </w:tabs>
        <w:spacing w:line="240" w:lineRule="auto" w:before="0" w:after="0"/>
        <w:ind w:left="1301" w:right="0" w:hanging="332"/>
        <w:jc w:val="left"/>
        <w:rPr>
          <w:sz w:val="20"/>
        </w:rPr>
      </w:pPr>
      <w:r>
        <w:rPr>
          <w:sz w:val="20"/>
        </w:rPr>
        <w:t>- Não admitir situações que coloquem em risco a integridade e o bem estar físico, mental e</w:t>
      </w:r>
      <w:r>
        <w:rPr>
          <w:spacing w:val="-13"/>
          <w:sz w:val="20"/>
        </w:rPr>
        <w:t> </w:t>
      </w:r>
      <w:r>
        <w:rPr>
          <w:sz w:val="20"/>
        </w:rPr>
        <w:t>social;</w:t>
      </w:r>
    </w:p>
    <w:p>
      <w:pPr>
        <w:spacing w:after="0" w:line="240" w:lineRule="auto"/>
        <w:jc w:val="left"/>
        <w:rPr>
          <w:sz w:val="20"/>
        </w:rPr>
        <w:sectPr>
          <w:type w:val="continuous"/>
          <w:pgSz w:w="11910" w:h="16850"/>
          <w:pgMar w:top="1600" w:bottom="280" w:left="960" w:right="220"/>
        </w:sectPr>
      </w:pPr>
    </w:p>
    <w:p>
      <w:pPr>
        <w:pStyle w:val="BodyText"/>
        <w:spacing w:before="10"/>
        <w:ind w:left="0"/>
        <w:jc w:val="left"/>
        <w:rPr>
          <w:sz w:val="10"/>
        </w:rPr>
      </w:pPr>
    </w:p>
    <w:p>
      <w:pPr>
        <w:pStyle w:val="ListParagraph"/>
        <w:numPr>
          <w:ilvl w:val="1"/>
          <w:numId w:val="4"/>
        </w:numPr>
        <w:tabs>
          <w:tab w:pos="1362" w:val="left" w:leader="none"/>
        </w:tabs>
        <w:spacing w:line="240" w:lineRule="auto" w:before="93" w:after="0"/>
        <w:ind w:left="117" w:right="119" w:firstLine="852"/>
        <w:jc w:val="both"/>
        <w:rPr>
          <w:sz w:val="20"/>
        </w:rPr>
      </w:pPr>
      <w:r>
        <w:rPr>
          <w:sz w:val="20"/>
        </w:rPr>
        <w:t>- Ter a concordância da comunidade alvo da pesquisa que pode ser obtida por intermédio das respectivas organizações indígenas ou conselhos locais, sem prejuízo do consentimento individual, que em comum acordo com as referidas comunidades designarão o intermediário para o contato entre pesquisador e a comunidade. Em pesquisas na área de saúde deverá ser comunicado o Conselho</w:t>
      </w:r>
      <w:r>
        <w:rPr>
          <w:spacing w:val="4"/>
          <w:sz w:val="20"/>
        </w:rPr>
        <w:t> </w:t>
      </w:r>
      <w:r>
        <w:rPr>
          <w:sz w:val="20"/>
        </w:rPr>
        <w:t>Distrital;</w:t>
      </w:r>
    </w:p>
    <w:p>
      <w:pPr>
        <w:pStyle w:val="ListParagraph"/>
        <w:numPr>
          <w:ilvl w:val="1"/>
          <w:numId w:val="4"/>
        </w:numPr>
        <w:tabs>
          <w:tab w:pos="1311" w:val="left" w:leader="none"/>
        </w:tabs>
        <w:spacing w:line="242" w:lineRule="auto" w:before="0" w:after="0"/>
        <w:ind w:left="117" w:right="122" w:firstLine="852"/>
        <w:jc w:val="both"/>
        <w:rPr>
          <w:sz w:val="20"/>
        </w:rPr>
      </w:pPr>
      <w:r>
        <w:rPr>
          <w:sz w:val="20"/>
        </w:rPr>
        <w:t>- Garantir igualdade de consideração dos interesses envolvidos, levando em conta a vulnerabilidade do grupo em</w:t>
      </w:r>
      <w:r>
        <w:rPr>
          <w:spacing w:val="3"/>
          <w:sz w:val="20"/>
        </w:rPr>
        <w:t> </w:t>
      </w:r>
      <w:r>
        <w:rPr>
          <w:sz w:val="20"/>
        </w:rPr>
        <w:t>questão.</w:t>
      </w:r>
    </w:p>
    <w:p>
      <w:pPr>
        <w:pStyle w:val="ListParagraph"/>
        <w:numPr>
          <w:ilvl w:val="0"/>
          <w:numId w:val="4"/>
        </w:numPr>
        <w:tabs>
          <w:tab w:pos="1150" w:val="left" w:leader="none"/>
        </w:tabs>
        <w:spacing w:line="226" w:lineRule="exact" w:before="0" w:after="0"/>
        <w:ind w:left="1150" w:right="0" w:hanging="180"/>
        <w:jc w:val="both"/>
        <w:rPr>
          <w:sz w:val="20"/>
        </w:rPr>
      </w:pPr>
      <w:r>
        <w:rPr>
          <w:sz w:val="20"/>
        </w:rPr>
        <w:t>-</w:t>
      </w:r>
      <w:r>
        <w:rPr>
          <w:spacing w:val="11"/>
          <w:sz w:val="20"/>
        </w:rPr>
        <w:t> </w:t>
      </w:r>
      <w:r>
        <w:rPr>
          <w:sz w:val="20"/>
        </w:rPr>
        <w:t>Recomenda-se,</w:t>
      </w:r>
      <w:r>
        <w:rPr>
          <w:spacing w:val="11"/>
          <w:sz w:val="20"/>
        </w:rPr>
        <w:t> </w:t>
      </w:r>
      <w:r>
        <w:rPr>
          <w:sz w:val="20"/>
        </w:rPr>
        <w:t>preferencialmente,</w:t>
      </w:r>
      <w:r>
        <w:rPr>
          <w:spacing w:val="10"/>
          <w:sz w:val="20"/>
        </w:rPr>
        <w:t> </w:t>
      </w:r>
      <w:r>
        <w:rPr>
          <w:sz w:val="20"/>
        </w:rPr>
        <w:t>a</w:t>
      </w:r>
      <w:r>
        <w:rPr>
          <w:spacing w:val="12"/>
          <w:sz w:val="20"/>
        </w:rPr>
        <w:t> </w:t>
      </w:r>
      <w:r>
        <w:rPr>
          <w:sz w:val="20"/>
        </w:rPr>
        <w:t>não</w:t>
      </w:r>
      <w:r>
        <w:rPr>
          <w:spacing w:val="11"/>
          <w:sz w:val="20"/>
        </w:rPr>
        <w:t> </w:t>
      </w:r>
      <w:r>
        <w:rPr>
          <w:sz w:val="20"/>
        </w:rPr>
        <w:t>realização</w:t>
      </w:r>
      <w:r>
        <w:rPr>
          <w:spacing w:val="10"/>
          <w:sz w:val="20"/>
        </w:rPr>
        <w:t> </w:t>
      </w:r>
      <w:r>
        <w:rPr>
          <w:sz w:val="20"/>
        </w:rPr>
        <w:t>de</w:t>
      </w:r>
      <w:r>
        <w:rPr>
          <w:spacing w:val="9"/>
          <w:sz w:val="20"/>
        </w:rPr>
        <w:t> </w:t>
      </w:r>
      <w:r>
        <w:rPr>
          <w:sz w:val="20"/>
        </w:rPr>
        <w:t>pesquisas</w:t>
      </w:r>
      <w:r>
        <w:rPr>
          <w:spacing w:val="12"/>
          <w:sz w:val="20"/>
        </w:rPr>
        <w:t> </w:t>
      </w:r>
      <w:r>
        <w:rPr>
          <w:sz w:val="20"/>
        </w:rPr>
        <w:t>em</w:t>
      </w:r>
      <w:r>
        <w:rPr>
          <w:spacing w:val="15"/>
          <w:sz w:val="20"/>
        </w:rPr>
        <w:t> </w:t>
      </w:r>
      <w:r>
        <w:rPr>
          <w:sz w:val="20"/>
        </w:rPr>
        <w:t>comunidades</w:t>
      </w:r>
      <w:r>
        <w:rPr>
          <w:spacing w:val="11"/>
          <w:sz w:val="20"/>
        </w:rPr>
        <w:t> </w:t>
      </w:r>
      <w:r>
        <w:rPr>
          <w:sz w:val="20"/>
        </w:rPr>
        <w:t>de</w:t>
      </w:r>
      <w:r>
        <w:rPr>
          <w:spacing w:val="13"/>
          <w:sz w:val="20"/>
        </w:rPr>
        <w:t> </w:t>
      </w:r>
      <w:r>
        <w:rPr>
          <w:sz w:val="20"/>
        </w:rPr>
        <w:t>índios</w:t>
      </w:r>
      <w:r>
        <w:rPr>
          <w:spacing w:val="12"/>
          <w:sz w:val="20"/>
        </w:rPr>
        <w:t> </w:t>
      </w:r>
      <w:r>
        <w:rPr>
          <w:sz w:val="20"/>
        </w:rPr>
        <w:t>isolados.</w:t>
      </w:r>
    </w:p>
    <w:p>
      <w:pPr>
        <w:pStyle w:val="BodyText"/>
        <w:spacing w:line="229" w:lineRule="exact" w:before="2"/>
      </w:pPr>
      <w:r>
        <w:rPr/>
        <w:t>Em casos especiais devem ser apresentadas justificativas detalhadas.</w:t>
      </w:r>
    </w:p>
    <w:p>
      <w:pPr>
        <w:pStyle w:val="ListParagraph"/>
        <w:numPr>
          <w:ilvl w:val="0"/>
          <w:numId w:val="4"/>
        </w:numPr>
        <w:tabs>
          <w:tab w:pos="1148" w:val="left" w:leader="none"/>
        </w:tabs>
        <w:spacing w:line="240" w:lineRule="auto" w:before="0" w:after="0"/>
        <w:ind w:left="117" w:right="123" w:firstLine="852"/>
        <w:jc w:val="both"/>
        <w:rPr>
          <w:sz w:val="20"/>
        </w:rPr>
      </w:pPr>
      <w:r>
        <w:rPr>
          <w:sz w:val="20"/>
        </w:rPr>
        <w:t>– Será considerado eticamente inaceitável o patenteamento por outrem de produtos químicos e material biológico de qualquer natureza obtidos a partir de pesquisas com povos</w:t>
      </w:r>
      <w:r>
        <w:rPr>
          <w:spacing w:val="-4"/>
          <w:sz w:val="20"/>
        </w:rPr>
        <w:t> </w:t>
      </w:r>
      <w:r>
        <w:rPr>
          <w:sz w:val="20"/>
        </w:rPr>
        <w:t>indígenas.</w:t>
      </w:r>
    </w:p>
    <w:p>
      <w:pPr>
        <w:pStyle w:val="ListParagraph"/>
        <w:numPr>
          <w:ilvl w:val="0"/>
          <w:numId w:val="4"/>
        </w:numPr>
        <w:tabs>
          <w:tab w:pos="1162" w:val="left" w:leader="none"/>
        </w:tabs>
        <w:spacing w:line="242" w:lineRule="auto" w:before="0" w:after="0"/>
        <w:ind w:left="117" w:right="115" w:firstLine="852"/>
        <w:jc w:val="both"/>
        <w:rPr>
          <w:sz w:val="20"/>
        </w:rPr>
      </w:pPr>
      <w:r>
        <w:rPr>
          <w:sz w:val="20"/>
        </w:rPr>
        <w:t>– A formação de bancos de DNA, de linhagens de células ou de quaisquer outros materiais biológicos relacionados aos povos indígenas, não é admitida sem a expressa concordância da comunidade envolvida, sem a apresentação detalhada da proposta no protocolo de pesquisa a ser submetido ao Comitê de Ética em Pesquisa - CEP e à Comissão Nacional de Ética em Pesquisa - CONEP, e a formal aprovação do CEP e da</w:t>
      </w:r>
      <w:r>
        <w:rPr>
          <w:spacing w:val="-13"/>
          <w:sz w:val="20"/>
        </w:rPr>
        <w:t> </w:t>
      </w:r>
      <w:r>
        <w:rPr>
          <w:sz w:val="20"/>
        </w:rPr>
        <w:t>CONEP;</w:t>
      </w:r>
    </w:p>
    <w:p>
      <w:pPr>
        <w:pStyle w:val="ListParagraph"/>
        <w:numPr>
          <w:ilvl w:val="0"/>
          <w:numId w:val="4"/>
        </w:numPr>
        <w:tabs>
          <w:tab w:pos="1167" w:val="left" w:leader="none"/>
        </w:tabs>
        <w:spacing w:line="240" w:lineRule="auto" w:before="0" w:after="0"/>
        <w:ind w:left="117" w:right="125" w:firstLine="852"/>
        <w:jc w:val="both"/>
        <w:rPr>
          <w:sz w:val="20"/>
        </w:rPr>
      </w:pPr>
      <w:r>
        <w:rPr>
          <w:sz w:val="20"/>
        </w:rPr>
        <w:t>– A não observância a qualquer um dos itens acima deverá ser comunicada ao CEP institucional e à CONEP do Conselho Nacional de Saúde, para as providências</w:t>
      </w:r>
      <w:r>
        <w:rPr>
          <w:spacing w:val="-3"/>
          <w:sz w:val="20"/>
        </w:rPr>
        <w:t> </w:t>
      </w:r>
      <w:r>
        <w:rPr>
          <w:sz w:val="20"/>
        </w:rPr>
        <w:t>cabíveis.</w:t>
      </w:r>
    </w:p>
    <w:p>
      <w:pPr>
        <w:pStyle w:val="Heading1"/>
      </w:pPr>
      <w:r>
        <w:rPr/>
        <w:t>IV- O protocolo da pesquisa</w:t>
      </w:r>
    </w:p>
    <w:p>
      <w:pPr>
        <w:pStyle w:val="BodyText"/>
        <w:ind w:right="124" w:firstLine="852"/>
      </w:pPr>
      <w:r>
        <w:rPr/>
        <w:t>O protocolo a ser submetido à avaliação ética deverá atender ao item VI da Resolução 196/96, acrescentando-se:</w:t>
      </w:r>
    </w:p>
    <w:p>
      <w:pPr>
        <w:pStyle w:val="ListParagraph"/>
        <w:numPr>
          <w:ilvl w:val="0"/>
          <w:numId w:val="5"/>
        </w:numPr>
        <w:tabs>
          <w:tab w:pos="1150" w:val="left" w:leader="none"/>
        </w:tabs>
        <w:spacing w:line="240" w:lineRule="auto" w:before="0" w:after="0"/>
        <w:ind w:left="117" w:right="122" w:firstLine="852"/>
        <w:jc w:val="both"/>
        <w:rPr>
          <w:sz w:val="20"/>
        </w:rPr>
      </w:pPr>
      <w:r>
        <w:rPr>
          <w:sz w:val="20"/>
        </w:rPr>
        <w:t>- Compromisso de obtenção da anuência das comunidades envolvidas tal como previsto no item III § 2 desta norma, descrevendo-se o processo de obtenção da</w:t>
      </w:r>
      <w:r>
        <w:rPr>
          <w:spacing w:val="-7"/>
          <w:sz w:val="20"/>
        </w:rPr>
        <w:t> </w:t>
      </w:r>
      <w:r>
        <w:rPr>
          <w:sz w:val="20"/>
        </w:rPr>
        <w:t>anuência.</w:t>
      </w:r>
    </w:p>
    <w:p>
      <w:pPr>
        <w:pStyle w:val="ListParagraph"/>
        <w:numPr>
          <w:ilvl w:val="0"/>
          <w:numId w:val="5"/>
        </w:numPr>
        <w:tabs>
          <w:tab w:pos="1162" w:val="left" w:leader="none"/>
        </w:tabs>
        <w:spacing w:line="242" w:lineRule="auto" w:before="0" w:after="0"/>
        <w:ind w:left="117" w:right="114" w:firstLine="852"/>
        <w:jc w:val="both"/>
        <w:rPr>
          <w:sz w:val="20"/>
        </w:rPr>
      </w:pPr>
      <w:r>
        <w:rPr>
          <w:sz w:val="20"/>
        </w:rPr>
        <w:t>– Descrição do processo de obtenção e de registro do Termo de Consentimento Livre e Esclarecido – TCLE , assegurada a adequação às peculiaridades culturais e lingüísticas dos</w:t>
      </w:r>
      <w:r>
        <w:rPr>
          <w:spacing w:val="-10"/>
          <w:sz w:val="20"/>
        </w:rPr>
        <w:t> </w:t>
      </w:r>
      <w:r>
        <w:rPr>
          <w:sz w:val="20"/>
        </w:rPr>
        <w:t>envolvidos.</w:t>
      </w:r>
    </w:p>
    <w:p>
      <w:pPr>
        <w:pStyle w:val="Heading1"/>
        <w:numPr>
          <w:ilvl w:val="0"/>
          <w:numId w:val="6"/>
        </w:numPr>
        <w:tabs>
          <w:tab w:pos="1158" w:val="left" w:leader="none"/>
        </w:tabs>
        <w:spacing w:line="226" w:lineRule="exact" w:before="0" w:after="0"/>
        <w:ind w:left="1157" w:right="0" w:hanging="188"/>
        <w:jc w:val="both"/>
      </w:pPr>
      <w:r>
        <w:rPr/>
        <w:t>– Proteção :</w:t>
      </w:r>
    </w:p>
    <w:p>
      <w:pPr>
        <w:pStyle w:val="ListParagraph"/>
        <w:numPr>
          <w:ilvl w:val="1"/>
          <w:numId w:val="6"/>
        </w:numPr>
        <w:tabs>
          <w:tab w:pos="1160" w:val="left" w:leader="none"/>
        </w:tabs>
        <w:spacing w:line="240" w:lineRule="auto" w:before="0" w:after="0"/>
        <w:ind w:left="1159" w:right="0" w:hanging="190"/>
        <w:jc w:val="both"/>
        <w:rPr>
          <w:sz w:val="20"/>
        </w:rPr>
      </w:pPr>
      <w:r>
        <w:rPr>
          <w:sz w:val="20"/>
        </w:rPr>
        <w:t>- A realização da pesquisa poderá a qualquer tempo ser suspensa, obedecido o disposto no</w:t>
      </w:r>
      <w:r>
        <w:rPr>
          <w:spacing w:val="-20"/>
          <w:sz w:val="20"/>
        </w:rPr>
        <w:t> </w:t>
      </w:r>
      <w:r>
        <w:rPr>
          <w:sz w:val="20"/>
        </w:rPr>
        <w:t>item</w:t>
      </w:r>
    </w:p>
    <w:p>
      <w:pPr>
        <w:pStyle w:val="BodyText"/>
        <w:spacing w:line="228" w:lineRule="exact"/>
      </w:pPr>
      <w:r>
        <w:rPr/>
        <w:t>III.3.z da Resolução 196/96, desde que:</w:t>
      </w:r>
    </w:p>
    <w:p>
      <w:pPr>
        <w:pStyle w:val="ListParagraph"/>
        <w:numPr>
          <w:ilvl w:val="2"/>
          <w:numId w:val="6"/>
        </w:numPr>
        <w:tabs>
          <w:tab w:pos="1357" w:val="left" w:leader="none"/>
        </w:tabs>
        <w:spacing w:line="228" w:lineRule="exact" w:before="0" w:after="0"/>
        <w:ind w:left="1356" w:right="0" w:hanging="387"/>
        <w:jc w:val="both"/>
        <w:rPr>
          <w:sz w:val="20"/>
        </w:rPr>
      </w:pPr>
      <w:r>
        <w:rPr>
          <w:sz w:val="20"/>
        </w:rPr>
        <w:t>seja solicitada a sua interrupção pela comunidade indígena em</w:t>
      </w:r>
      <w:r>
        <w:rPr>
          <w:spacing w:val="46"/>
          <w:sz w:val="20"/>
        </w:rPr>
        <w:t> </w:t>
      </w:r>
      <w:r>
        <w:rPr>
          <w:sz w:val="20"/>
        </w:rPr>
        <w:t>estudo;</w:t>
      </w:r>
    </w:p>
    <w:p>
      <w:pPr>
        <w:pStyle w:val="ListParagraph"/>
        <w:numPr>
          <w:ilvl w:val="2"/>
          <w:numId w:val="6"/>
        </w:numPr>
        <w:tabs>
          <w:tab w:pos="1390" w:val="left" w:leader="none"/>
        </w:tabs>
        <w:spacing w:line="242" w:lineRule="auto" w:before="0" w:after="0"/>
        <w:ind w:left="117" w:right="124" w:firstLine="852"/>
        <w:jc w:val="both"/>
        <w:rPr>
          <w:sz w:val="20"/>
        </w:rPr>
      </w:pPr>
      <w:r>
        <w:rPr>
          <w:sz w:val="20"/>
        </w:rPr>
        <w:t>a pesquisa em desenvolvimento venha a gerar conflitos e/ou qualquer tipo de mal estar dentro da comunidade;</w:t>
      </w:r>
    </w:p>
    <w:p>
      <w:pPr>
        <w:pStyle w:val="ListParagraph"/>
        <w:numPr>
          <w:ilvl w:val="2"/>
          <w:numId w:val="6"/>
        </w:numPr>
        <w:tabs>
          <w:tab w:pos="1397" w:val="left" w:leader="none"/>
        </w:tabs>
        <w:spacing w:line="240" w:lineRule="auto" w:before="0" w:after="0"/>
        <w:ind w:left="117" w:right="119" w:firstLine="852"/>
        <w:jc w:val="both"/>
        <w:rPr>
          <w:sz w:val="20"/>
        </w:rPr>
      </w:pPr>
      <w:r>
        <w:rPr>
          <w:sz w:val="20"/>
        </w:rPr>
        <w:t>haja violação nas formas de organização e sobrevivência da comunidade indígena, relacionadas principalmente à vida dos sujeitos, aos recursos humanos, aos recursos fitogenéticos, ao conhecimento das propriedades do solo, do subsolo, da fauna e flora, às tradições orais e a todas as expressões artísticas daquela comunidade.</w:t>
      </w:r>
    </w:p>
    <w:p>
      <w:pPr>
        <w:pStyle w:val="Heading1"/>
        <w:numPr>
          <w:ilvl w:val="0"/>
          <w:numId w:val="6"/>
        </w:numPr>
        <w:tabs>
          <w:tab w:pos="1213" w:val="left" w:leader="none"/>
        </w:tabs>
        <w:spacing w:line="230" w:lineRule="exact" w:before="0" w:after="0"/>
        <w:ind w:left="1212" w:right="0" w:hanging="243"/>
        <w:jc w:val="both"/>
      </w:pPr>
      <w:r>
        <w:rPr/>
        <w:t>- Atribuições da</w:t>
      </w:r>
      <w:r>
        <w:rPr>
          <w:spacing w:val="4"/>
        </w:rPr>
        <w:t> </w:t>
      </w:r>
      <w:r>
        <w:rPr/>
        <w:t>CONEP</w:t>
      </w:r>
    </w:p>
    <w:p>
      <w:pPr>
        <w:pStyle w:val="ListParagraph"/>
        <w:numPr>
          <w:ilvl w:val="0"/>
          <w:numId w:val="7"/>
        </w:numPr>
        <w:tabs>
          <w:tab w:pos="1155" w:val="left" w:leader="none"/>
        </w:tabs>
        <w:spacing w:line="242" w:lineRule="auto" w:before="0" w:after="0"/>
        <w:ind w:left="117" w:right="116" w:firstLine="852"/>
        <w:jc w:val="both"/>
        <w:rPr>
          <w:sz w:val="20"/>
        </w:rPr>
      </w:pPr>
      <w:r>
        <w:rPr>
          <w:sz w:val="20"/>
        </w:rPr>
        <w:t>- Dentro das atribuições previstas no item VIII.4.c.6 da Resolução CNS 196/96, cabe à CONEP, após a aprovação do CEP institucional, apreciar as pesquisas enquadradas nessa área temática, ainda que simultaneamente enquadradas em</w:t>
      </w:r>
      <w:r>
        <w:rPr>
          <w:spacing w:val="2"/>
          <w:sz w:val="20"/>
        </w:rPr>
        <w:t> </w:t>
      </w:r>
      <w:r>
        <w:rPr>
          <w:sz w:val="20"/>
        </w:rPr>
        <w:t>outra.</w:t>
      </w:r>
    </w:p>
    <w:p>
      <w:pPr>
        <w:pStyle w:val="ListParagraph"/>
        <w:numPr>
          <w:ilvl w:val="0"/>
          <w:numId w:val="7"/>
        </w:numPr>
        <w:tabs>
          <w:tab w:pos="1148" w:val="left" w:leader="none"/>
        </w:tabs>
        <w:spacing w:line="240" w:lineRule="auto" w:before="0" w:after="0"/>
        <w:ind w:left="117" w:right="113" w:firstLine="852"/>
        <w:jc w:val="both"/>
        <w:rPr>
          <w:sz w:val="20"/>
        </w:rPr>
      </w:pPr>
      <w:r>
        <w:rPr>
          <w:sz w:val="20"/>
        </w:rPr>
        <w:t>- Parecer da Comissão Intersetorial de Saúde do Índio(CISI), quando necessária consultoria, poderá ser solicitado pela</w:t>
      </w:r>
      <w:r>
        <w:rPr>
          <w:spacing w:val="-1"/>
          <w:sz w:val="20"/>
        </w:rPr>
        <w:t> </w:t>
      </w:r>
      <w:r>
        <w:rPr>
          <w:sz w:val="20"/>
        </w:rPr>
        <w:t>CONEP.</w:t>
      </w:r>
    </w:p>
    <w:p>
      <w:pPr>
        <w:pStyle w:val="ListParagraph"/>
        <w:numPr>
          <w:ilvl w:val="0"/>
          <w:numId w:val="7"/>
        </w:numPr>
        <w:tabs>
          <w:tab w:pos="1138" w:val="left" w:leader="none"/>
        </w:tabs>
        <w:spacing w:line="242" w:lineRule="auto" w:before="0" w:after="0"/>
        <w:ind w:left="117" w:right="129" w:firstLine="852"/>
        <w:jc w:val="both"/>
        <w:rPr>
          <w:sz w:val="20"/>
        </w:rPr>
      </w:pPr>
      <w:r>
        <w:rPr>
          <w:sz w:val="20"/>
        </w:rPr>
        <w:t>- Os casos omissos referentes aos aspectos éticos da pesquisa, serão resolvidos pela Comissão Nacional de Ética em</w:t>
      </w:r>
      <w:r>
        <w:rPr>
          <w:spacing w:val="2"/>
          <w:sz w:val="20"/>
        </w:rPr>
        <w:t> </w:t>
      </w:r>
      <w:r>
        <w:rPr>
          <w:sz w:val="20"/>
        </w:rPr>
        <w:t>Pesquisa.</w:t>
      </w:r>
    </w:p>
    <w:p>
      <w:pPr>
        <w:pStyle w:val="BodyText"/>
        <w:ind w:left="0"/>
        <w:jc w:val="left"/>
        <w:rPr>
          <w:sz w:val="22"/>
        </w:rPr>
      </w:pPr>
    </w:p>
    <w:p>
      <w:pPr>
        <w:pStyle w:val="BodyText"/>
        <w:ind w:left="0"/>
        <w:jc w:val="left"/>
        <w:rPr>
          <w:sz w:val="22"/>
        </w:rPr>
      </w:pPr>
    </w:p>
    <w:p>
      <w:pPr>
        <w:pStyle w:val="Heading1"/>
        <w:spacing w:line="240" w:lineRule="auto" w:before="163"/>
        <w:ind w:left="3757" w:right="3044"/>
        <w:jc w:val="center"/>
      </w:pPr>
      <w:r>
        <w:rPr/>
        <w:t>JOSÉ SERRA</w:t>
      </w:r>
    </w:p>
    <w:p>
      <w:pPr>
        <w:pStyle w:val="BodyText"/>
        <w:spacing w:before="3"/>
        <w:ind w:left="3757" w:right="3051"/>
        <w:jc w:val="center"/>
      </w:pPr>
      <w:r>
        <w:rPr/>
        <w:t>Presidente do Conselho Nacional de Saúde</w:t>
      </w:r>
    </w:p>
    <w:p>
      <w:pPr>
        <w:pStyle w:val="BodyText"/>
        <w:ind w:left="0"/>
        <w:jc w:val="left"/>
        <w:rPr>
          <w:sz w:val="22"/>
        </w:rPr>
      </w:pPr>
    </w:p>
    <w:p>
      <w:pPr>
        <w:pStyle w:val="BodyText"/>
        <w:spacing w:before="1"/>
        <w:ind w:left="0"/>
        <w:jc w:val="left"/>
        <w:rPr>
          <w:sz w:val="18"/>
        </w:rPr>
      </w:pPr>
    </w:p>
    <w:p>
      <w:pPr>
        <w:pStyle w:val="BodyText"/>
        <w:ind w:firstLine="852"/>
        <w:jc w:val="left"/>
      </w:pPr>
      <w:r>
        <w:rPr/>
        <w:t>Homologo a Resolução CNS nº 304, de 10 de agosto de 2000, nos termos do Decreto de Delegação de Competência de 12 de novembro de 1991.</w:t>
      </w:r>
    </w:p>
    <w:p>
      <w:pPr>
        <w:pStyle w:val="BodyText"/>
        <w:ind w:left="0"/>
        <w:jc w:val="left"/>
        <w:rPr>
          <w:sz w:val="22"/>
        </w:rPr>
      </w:pPr>
    </w:p>
    <w:p>
      <w:pPr>
        <w:pStyle w:val="BodyText"/>
        <w:ind w:left="0"/>
        <w:jc w:val="left"/>
        <w:rPr>
          <w:sz w:val="22"/>
        </w:rPr>
      </w:pPr>
    </w:p>
    <w:p>
      <w:pPr>
        <w:pStyle w:val="Heading1"/>
        <w:spacing w:line="240" w:lineRule="auto" w:before="182"/>
        <w:ind w:left="3757" w:right="3044"/>
        <w:jc w:val="center"/>
      </w:pPr>
      <w:r>
        <w:rPr/>
        <w:t>JOSÉ SERRA</w:t>
      </w:r>
    </w:p>
    <w:p>
      <w:pPr>
        <w:pStyle w:val="BodyText"/>
        <w:spacing w:before="2"/>
        <w:ind w:left="3756" w:right="3051"/>
        <w:jc w:val="center"/>
      </w:pPr>
      <w:r>
        <w:rPr/>
        <w:t>Ministro de Estado da Saúde</w:t>
      </w:r>
    </w:p>
    <w:sectPr>
      <w:pgSz w:w="11910" w:h="16850"/>
      <w:pgMar w:top="1600" w:bottom="280" w:left="96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7" w:hanging="166"/>
      </w:pPr>
      <w:rPr>
        <w:rFonts w:hint="default" w:ascii="Arial" w:hAnsi="Arial" w:eastAsia="Arial" w:cs="Arial"/>
        <w:w w:val="99"/>
        <w:sz w:val="20"/>
        <w:szCs w:val="20"/>
        <w:lang w:val="pt-PT" w:eastAsia="en-US" w:bidi="ar-SA"/>
      </w:rPr>
    </w:lvl>
    <w:lvl w:ilvl="1">
      <w:start w:val="0"/>
      <w:numFmt w:val="bullet"/>
      <w:lvlText w:val="•"/>
      <w:lvlJc w:val="left"/>
      <w:pPr>
        <w:ind w:left="1180" w:hanging="166"/>
      </w:pPr>
      <w:rPr>
        <w:rFonts w:hint="default"/>
        <w:lang w:val="pt-PT" w:eastAsia="en-US" w:bidi="ar-SA"/>
      </w:rPr>
    </w:lvl>
    <w:lvl w:ilvl="2">
      <w:start w:val="0"/>
      <w:numFmt w:val="bullet"/>
      <w:lvlText w:val="•"/>
      <w:lvlJc w:val="left"/>
      <w:pPr>
        <w:ind w:left="2241" w:hanging="166"/>
      </w:pPr>
      <w:rPr>
        <w:rFonts w:hint="default"/>
        <w:lang w:val="pt-PT" w:eastAsia="en-US" w:bidi="ar-SA"/>
      </w:rPr>
    </w:lvl>
    <w:lvl w:ilvl="3">
      <w:start w:val="0"/>
      <w:numFmt w:val="bullet"/>
      <w:lvlText w:val="•"/>
      <w:lvlJc w:val="left"/>
      <w:pPr>
        <w:ind w:left="3301" w:hanging="166"/>
      </w:pPr>
      <w:rPr>
        <w:rFonts w:hint="default"/>
        <w:lang w:val="pt-PT" w:eastAsia="en-US" w:bidi="ar-SA"/>
      </w:rPr>
    </w:lvl>
    <w:lvl w:ilvl="4">
      <w:start w:val="0"/>
      <w:numFmt w:val="bullet"/>
      <w:lvlText w:val="•"/>
      <w:lvlJc w:val="left"/>
      <w:pPr>
        <w:ind w:left="4362" w:hanging="166"/>
      </w:pPr>
      <w:rPr>
        <w:rFonts w:hint="default"/>
        <w:lang w:val="pt-PT" w:eastAsia="en-US" w:bidi="ar-SA"/>
      </w:rPr>
    </w:lvl>
    <w:lvl w:ilvl="5">
      <w:start w:val="0"/>
      <w:numFmt w:val="bullet"/>
      <w:lvlText w:val="•"/>
      <w:lvlJc w:val="left"/>
      <w:pPr>
        <w:ind w:left="5423" w:hanging="166"/>
      </w:pPr>
      <w:rPr>
        <w:rFonts w:hint="default"/>
        <w:lang w:val="pt-PT" w:eastAsia="en-US" w:bidi="ar-SA"/>
      </w:rPr>
    </w:lvl>
    <w:lvl w:ilvl="6">
      <w:start w:val="0"/>
      <w:numFmt w:val="bullet"/>
      <w:lvlText w:val="•"/>
      <w:lvlJc w:val="left"/>
      <w:pPr>
        <w:ind w:left="6483" w:hanging="166"/>
      </w:pPr>
      <w:rPr>
        <w:rFonts w:hint="default"/>
        <w:lang w:val="pt-PT" w:eastAsia="en-US" w:bidi="ar-SA"/>
      </w:rPr>
    </w:lvl>
    <w:lvl w:ilvl="7">
      <w:start w:val="0"/>
      <w:numFmt w:val="bullet"/>
      <w:lvlText w:val="•"/>
      <w:lvlJc w:val="left"/>
      <w:pPr>
        <w:ind w:left="7544" w:hanging="166"/>
      </w:pPr>
      <w:rPr>
        <w:rFonts w:hint="default"/>
        <w:lang w:val="pt-PT" w:eastAsia="en-US" w:bidi="ar-SA"/>
      </w:rPr>
    </w:lvl>
    <w:lvl w:ilvl="8">
      <w:start w:val="0"/>
      <w:numFmt w:val="bullet"/>
      <w:lvlText w:val="•"/>
      <w:lvlJc w:val="left"/>
      <w:pPr>
        <w:ind w:left="8605" w:hanging="166"/>
      </w:pPr>
      <w:rPr>
        <w:rFonts w:hint="default"/>
        <w:lang w:val="pt-PT" w:eastAsia="en-US" w:bidi="ar-SA"/>
      </w:rPr>
    </w:lvl>
  </w:abstractNum>
  <w:abstractNum w:abstractNumId="6">
    <w:multiLevelType w:val="hybridMultilevel"/>
    <w:lvl w:ilvl="0">
      <w:start w:val="1"/>
      <w:numFmt w:val="decimal"/>
      <w:lvlText w:val="%1"/>
      <w:lvlJc w:val="left"/>
      <w:pPr>
        <w:ind w:left="117" w:hanging="185"/>
        <w:jc w:val="left"/>
      </w:pPr>
      <w:rPr>
        <w:rFonts w:hint="default" w:ascii="Arial" w:hAnsi="Arial" w:eastAsia="Arial" w:cs="Arial"/>
        <w:b/>
        <w:bCs/>
        <w:w w:val="99"/>
        <w:sz w:val="20"/>
        <w:szCs w:val="20"/>
        <w:lang w:val="pt-PT" w:eastAsia="en-US" w:bidi="ar-SA"/>
      </w:rPr>
    </w:lvl>
    <w:lvl w:ilvl="1">
      <w:start w:val="0"/>
      <w:numFmt w:val="bullet"/>
      <w:lvlText w:val="•"/>
      <w:lvlJc w:val="left"/>
      <w:pPr>
        <w:ind w:left="1180" w:hanging="185"/>
      </w:pPr>
      <w:rPr>
        <w:rFonts w:hint="default"/>
        <w:lang w:val="pt-PT" w:eastAsia="en-US" w:bidi="ar-SA"/>
      </w:rPr>
    </w:lvl>
    <w:lvl w:ilvl="2">
      <w:start w:val="0"/>
      <w:numFmt w:val="bullet"/>
      <w:lvlText w:val="•"/>
      <w:lvlJc w:val="left"/>
      <w:pPr>
        <w:ind w:left="2241" w:hanging="185"/>
      </w:pPr>
      <w:rPr>
        <w:rFonts w:hint="default"/>
        <w:lang w:val="pt-PT" w:eastAsia="en-US" w:bidi="ar-SA"/>
      </w:rPr>
    </w:lvl>
    <w:lvl w:ilvl="3">
      <w:start w:val="0"/>
      <w:numFmt w:val="bullet"/>
      <w:lvlText w:val="•"/>
      <w:lvlJc w:val="left"/>
      <w:pPr>
        <w:ind w:left="3301" w:hanging="185"/>
      </w:pPr>
      <w:rPr>
        <w:rFonts w:hint="default"/>
        <w:lang w:val="pt-PT" w:eastAsia="en-US" w:bidi="ar-SA"/>
      </w:rPr>
    </w:lvl>
    <w:lvl w:ilvl="4">
      <w:start w:val="0"/>
      <w:numFmt w:val="bullet"/>
      <w:lvlText w:val="•"/>
      <w:lvlJc w:val="left"/>
      <w:pPr>
        <w:ind w:left="4362" w:hanging="185"/>
      </w:pPr>
      <w:rPr>
        <w:rFonts w:hint="default"/>
        <w:lang w:val="pt-PT" w:eastAsia="en-US" w:bidi="ar-SA"/>
      </w:rPr>
    </w:lvl>
    <w:lvl w:ilvl="5">
      <w:start w:val="0"/>
      <w:numFmt w:val="bullet"/>
      <w:lvlText w:val="•"/>
      <w:lvlJc w:val="left"/>
      <w:pPr>
        <w:ind w:left="5423" w:hanging="185"/>
      </w:pPr>
      <w:rPr>
        <w:rFonts w:hint="default"/>
        <w:lang w:val="pt-PT" w:eastAsia="en-US" w:bidi="ar-SA"/>
      </w:rPr>
    </w:lvl>
    <w:lvl w:ilvl="6">
      <w:start w:val="0"/>
      <w:numFmt w:val="bullet"/>
      <w:lvlText w:val="•"/>
      <w:lvlJc w:val="left"/>
      <w:pPr>
        <w:ind w:left="6483" w:hanging="185"/>
      </w:pPr>
      <w:rPr>
        <w:rFonts w:hint="default"/>
        <w:lang w:val="pt-PT" w:eastAsia="en-US" w:bidi="ar-SA"/>
      </w:rPr>
    </w:lvl>
    <w:lvl w:ilvl="7">
      <w:start w:val="0"/>
      <w:numFmt w:val="bullet"/>
      <w:lvlText w:val="•"/>
      <w:lvlJc w:val="left"/>
      <w:pPr>
        <w:ind w:left="7544" w:hanging="185"/>
      </w:pPr>
      <w:rPr>
        <w:rFonts w:hint="default"/>
        <w:lang w:val="pt-PT" w:eastAsia="en-US" w:bidi="ar-SA"/>
      </w:rPr>
    </w:lvl>
    <w:lvl w:ilvl="8">
      <w:start w:val="0"/>
      <w:numFmt w:val="bullet"/>
      <w:lvlText w:val="•"/>
      <w:lvlJc w:val="left"/>
      <w:pPr>
        <w:ind w:left="8605" w:hanging="185"/>
      </w:pPr>
      <w:rPr>
        <w:rFonts w:hint="default"/>
        <w:lang w:val="pt-PT" w:eastAsia="en-US" w:bidi="ar-SA"/>
      </w:rPr>
    </w:lvl>
  </w:abstractNum>
  <w:abstractNum w:abstractNumId="5">
    <w:multiLevelType w:val="hybridMultilevel"/>
    <w:lvl w:ilvl="0">
      <w:start w:val="5"/>
      <w:numFmt w:val="upperRoman"/>
      <w:lvlText w:val="%1"/>
      <w:lvlJc w:val="left"/>
      <w:pPr>
        <w:ind w:left="1157" w:hanging="188"/>
        <w:jc w:val="left"/>
      </w:pPr>
      <w:rPr>
        <w:rFonts w:hint="default" w:ascii="Arial" w:hAnsi="Arial" w:eastAsia="Arial" w:cs="Arial"/>
        <w:b/>
        <w:bCs/>
        <w:w w:val="99"/>
        <w:sz w:val="20"/>
        <w:szCs w:val="20"/>
        <w:lang w:val="pt-PT" w:eastAsia="en-US" w:bidi="ar-SA"/>
      </w:rPr>
    </w:lvl>
    <w:lvl w:ilvl="1">
      <w:start w:val="1"/>
      <w:numFmt w:val="decimal"/>
      <w:lvlText w:val="%2"/>
      <w:lvlJc w:val="left"/>
      <w:pPr>
        <w:ind w:left="1159" w:hanging="190"/>
        <w:jc w:val="left"/>
      </w:pPr>
      <w:rPr>
        <w:rFonts w:hint="default" w:ascii="Arial" w:hAnsi="Arial" w:eastAsia="Arial" w:cs="Arial"/>
        <w:b/>
        <w:bCs/>
        <w:w w:val="99"/>
        <w:sz w:val="20"/>
        <w:szCs w:val="20"/>
        <w:lang w:val="pt-PT" w:eastAsia="en-US" w:bidi="ar-SA"/>
      </w:rPr>
    </w:lvl>
    <w:lvl w:ilvl="2">
      <w:start w:val="1"/>
      <w:numFmt w:val="decimal"/>
      <w:lvlText w:val="%2.%3."/>
      <w:lvlJc w:val="left"/>
      <w:pPr>
        <w:ind w:left="1356" w:hanging="387"/>
        <w:jc w:val="left"/>
      </w:pPr>
      <w:rPr>
        <w:rFonts w:hint="default" w:ascii="Arial" w:hAnsi="Arial" w:eastAsia="Arial" w:cs="Arial"/>
        <w:b/>
        <w:bCs/>
        <w:spacing w:val="-1"/>
        <w:w w:val="99"/>
        <w:sz w:val="20"/>
        <w:szCs w:val="20"/>
        <w:lang w:val="pt-PT" w:eastAsia="en-US" w:bidi="ar-SA"/>
      </w:rPr>
    </w:lvl>
    <w:lvl w:ilvl="3">
      <w:start w:val="0"/>
      <w:numFmt w:val="bullet"/>
      <w:lvlText w:val="•"/>
      <w:lvlJc w:val="left"/>
      <w:pPr>
        <w:ind w:left="3441" w:hanging="387"/>
      </w:pPr>
      <w:rPr>
        <w:rFonts w:hint="default"/>
        <w:lang w:val="pt-PT" w:eastAsia="en-US" w:bidi="ar-SA"/>
      </w:rPr>
    </w:lvl>
    <w:lvl w:ilvl="4">
      <w:start w:val="0"/>
      <w:numFmt w:val="bullet"/>
      <w:lvlText w:val="•"/>
      <w:lvlJc w:val="left"/>
      <w:pPr>
        <w:ind w:left="4482" w:hanging="387"/>
      </w:pPr>
      <w:rPr>
        <w:rFonts w:hint="default"/>
        <w:lang w:val="pt-PT" w:eastAsia="en-US" w:bidi="ar-SA"/>
      </w:rPr>
    </w:lvl>
    <w:lvl w:ilvl="5">
      <w:start w:val="0"/>
      <w:numFmt w:val="bullet"/>
      <w:lvlText w:val="•"/>
      <w:lvlJc w:val="left"/>
      <w:pPr>
        <w:ind w:left="5522" w:hanging="387"/>
      </w:pPr>
      <w:rPr>
        <w:rFonts w:hint="default"/>
        <w:lang w:val="pt-PT" w:eastAsia="en-US" w:bidi="ar-SA"/>
      </w:rPr>
    </w:lvl>
    <w:lvl w:ilvl="6">
      <w:start w:val="0"/>
      <w:numFmt w:val="bullet"/>
      <w:lvlText w:val="•"/>
      <w:lvlJc w:val="left"/>
      <w:pPr>
        <w:ind w:left="6563" w:hanging="387"/>
      </w:pPr>
      <w:rPr>
        <w:rFonts w:hint="default"/>
        <w:lang w:val="pt-PT" w:eastAsia="en-US" w:bidi="ar-SA"/>
      </w:rPr>
    </w:lvl>
    <w:lvl w:ilvl="7">
      <w:start w:val="0"/>
      <w:numFmt w:val="bullet"/>
      <w:lvlText w:val="•"/>
      <w:lvlJc w:val="left"/>
      <w:pPr>
        <w:ind w:left="7604" w:hanging="387"/>
      </w:pPr>
      <w:rPr>
        <w:rFonts w:hint="default"/>
        <w:lang w:val="pt-PT" w:eastAsia="en-US" w:bidi="ar-SA"/>
      </w:rPr>
    </w:lvl>
    <w:lvl w:ilvl="8">
      <w:start w:val="0"/>
      <w:numFmt w:val="bullet"/>
      <w:lvlText w:val="•"/>
      <w:lvlJc w:val="left"/>
      <w:pPr>
        <w:ind w:left="8644" w:hanging="387"/>
      </w:pPr>
      <w:rPr>
        <w:rFonts w:hint="default"/>
        <w:lang w:val="pt-PT" w:eastAsia="en-US" w:bidi="ar-SA"/>
      </w:rPr>
    </w:lvl>
  </w:abstractNum>
  <w:abstractNum w:abstractNumId="4">
    <w:multiLevelType w:val="hybridMultilevel"/>
    <w:lvl w:ilvl="0">
      <w:start w:val="1"/>
      <w:numFmt w:val="decimal"/>
      <w:lvlText w:val="%1"/>
      <w:lvlJc w:val="left"/>
      <w:pPr>
        <w:ind w:left="117" w:hanging="180"/>
        <w:jc w:val="left"/>
      </w:pPr>
      <w:rPr>
        <w:rFonts w:hint="default" w:ascii="Arial" w:hAnsi="Arial" w:eastAsia="Arial" w:cs="Arial"/>
        <w:b/>
        <w:bCs/>
        <w:w w:val="99"/>
        <w:sz w:val="20"/>
        <w:szCs w:val="20"/>
        <w:lang w:val="pt-PT" w:eastAsia="en-US" w:bidi="ar-SA"/>
      </w:rPr>
    </w:lvl>
    <w:lvl w:ilvl="1">
      <w:start w:val="0"/>
      <w:numFmt w:val="bullet"/>
      <w:lvlText w:val="•"/>
      <w:lvlJc w:val="left"/>
      <w:pPr>
        <w:ind w:left="1180" w:hanging="180"/>
      </w:pPr>
      <w:rPr>
        <w:rFonts w:hint="default"/>
        <w:lang w:val="pt-PT" w:eastAsia="en-US" w:bidi="ar-SA"/>
      </w:rPr>
    </w:lvl>
    <w:lvl w:ilvl="2">
      <w:start w:val="0"/>
      <w:numFmt w:val="bullet"/>
      <w:lvlText w:val="•"/>
      <w:lvlJc w:val="left"/>
      <w:pPr>
        <w:ind w:left="2241" w:hanging="180"/>
      </w:pPr>
      <w:rPr>
        <w:rFonts w:hint="default"/>
        <w:lang w:val="pt-PT" w:eastAsia="en-US" w:bidi="ar-SA"/>
      </w:rPr>
    </w:lvl>
    <w:lvl w:ilvl="3">
      <w:start w:val="0"/>
      <w:numFmt w:val="bullet"/>
      <w:lvlText w:val="•"/>
      <w:lvlJc w:val="left"/>
      <w:pPr>
        <w:ind w:left="3301" w:hanging="180"/>
      </w:pPr>
      <w:rPr>
        <w:rFonts w:hint="default"/>
        <w:lang w:val="pt-PT" w:eastAsia="en-US" w:bidi="ar-SA"/>
      </w:rPr>
    </w:lvl>
    <w:lvl w:ilvl="4">
      <w:start w:val="0"/>
      <w:numFmt w:val="bullet"/>
      <w:lvlText w:val="•"/>
      <w:lvlJc w:val="left"/>
      <w:pPr>
        <w:ind w:left="4362" w:hanging="180"/>
      </w:pPr>
      <w:rPr>
        <w:rFonts w:hint="default"/>
        <w:lang w:val="pt-PT" w:eastAsia="en-US" w:bidi="ar-SA"/>
      </w:rPr>
    </w:lvl>
    <w:lvl w:ilvl="5">
      <w:start w:val="0"/>
      <w:numFmt w:val="bullet"/>
      <w:lvlText w:val="•"/>
      <w:lvlJc w:val="left"/>
      <w:pPr>
        <w:ind w:left="5423" w:hanging="180"/>
      </w:pPr>
      <w:rPr>
        <w:rFonts w:hint="default"/>
        <w:lang w:val="pt-PT" w:eastAsia="en-US" w:bidi="ar-SA"/>
      </w:rPr>
    </w:lvl>
    <w:lvl w:ilvl="6">
      <w:start w:val="0"/>
      <w:numFmt w:val="bullet"/>
      <w:lvlText w:val="•"/>
      <w:lvlJc w:val="left"/>
      <w:pPr>
        <w:ind w:left="6483" w:hanging="180"/>
      </w:pPr>
      <w:rPr>
        <w:rFonts w:hint="default"/>
        <w:lang w:val="pt-PT" w:eastAsia="en-US" w:bidi="ar-SA"/>
      </w:rPr>
    </w:lvl>
    <w:lvl w:ilvl="7">
      <w:start w:val="0"/>
      <w:numFmt w:val="bullet"/>
      <w:lvlText w:val="•"/>
      <w:lvlJc w:val="left"/>
      <w:pPr>
        <w:ind w:left="7544" w:hanging="180"/>
      </w:pPr>
      <w:rPr>
        <w:rFonts w:hint="default"/>
        <w:lang w:val="pt-PT" w:eastAsia="en-US" w:bidi="ar-SA"/>
      </w:rPr>
    </w:lvl>
    <w:lvl w:ilvl="8">
      <w:start w:val="0"/>
      <w:numFmt w:val="bullet"/>
      <w:lvlText w:val="•"/>
      <w:lvlJc w:val="left"/>
      <w:pPr>
        <w:ind w:left="8605" w:hanging="180"/>
      </w:pPr>
      <w:rPr>
        <w:rFonts w:hint="default"/>
        <w:lang w:val="pt-PT" w:eastAsia="en-US" w:bidi="ar-SA"/>
      </w:rPr>
    </w:lvl>
  </w:abstractNum>
  <w:abstractNum w:abstractNumId="3">
    <w:multiLevelType w:val="hybridMultilevel"/>
    <w:lvl w:ilvl="0">
      <w:start w:val="1"/>
      <w:numFmt w:val="decimal"/>
      <w:lvlText w:val="%1"/>
      <w:lvlJc w:val="left"/>
      <w:pPr>
        <w:ind w:left="117" w:hanging="264"/>
        <w:jc w:val="left"/>
      </w:pPr>
      <w:rPr>
        <w:rFonts w:hint="default" w:ascii="Arial" w:hAnsi="Arial" w:eastAsia="Arial" w:cs="Arial"/>
        <w:b/>
        <w:bCs/>
        <w:w w:val="99"/>
        <w:sz w:val="20"/>
        <w:szCs w:val="20"/>
        <w:lang w:val="pt-PT" w:eastAsia="en-US" w:bidi="ar-SA"/>
      </w:rPr>
    </w:lvl>
    <w:lvl w:ilvl="1">
      <w:start w:val="1"/>
      <w:numFmt w:val="decimal"/>
      <w:lvlText w:val="%1.%2"/>
      <w:lvlJc w:val="left"/>
      <w:pPr>
        <w:ind w:left="117" w:hanging="348"/>
        <w:jc w:val="left"/>
      </w:pPr>
      <w:rPr>
        <w:rFonts w:hint="default" w:ascii="Arial" w:hAnsi="Arial" w:eastAsia="Arial" w:cs="Arial"/>
        <w:b/>
        <w:bCs/>
        <w:spacing w:val="-1"/>
        <w:w w:val="99"/>
        <w:sz w:val="20"/>
        <w:szCs w:val="20"/>
        <w:lang w:val="pt-PT" w:eastAsia="en-US" w:bidi="ar-SA"/>
      </w:rPr>
    </w:lvl>
    <w:lvl w:ilvl="2">
      <w:start w:val="0"/>
      <w:numFmt w:val="bullet"/>
      <w:lvlText w:val="•"/>
      <w:lvlJc w:val="left"/>
      <w:pPr>
        <w:ind w:left="2241" w:hanging="348"/>
      </w:pPr>
      <w:rPr>
        <w:rFonts w:hint="default"/>
        <w:lang w:val="pt-PT" w:eastAsia="en-US" w:bidi="ar-SA"/>
      </w:rPr>
    </w:lvl>
    <w:lvl w:ilvl="3">
      <w:start w:val="0"/>
      <w:numFmt w:val="bullet"/>
      <w:lvlText w:val="•"/>
      <w:lvlJc w:val="left"/>
      <w:pPr>
        <w:ind w:left="3301" w:hanging="348"/>
      </w:pPr>
      <w:rPr>
        <w:rFonts w:hint="default"/>
        <w:lang w:val="pt-PT" w:eastAsia="en-US" w:bidi="ar-SA"/>
      </w:rPr>
    </w:lvl>
    <w:lvl w:ilvl="4">
      <w:start w:val="0"/>
      <w:numFmt w:val="bullet"/>
      <w:lvlText w:val="•"/>
      <w:lvlJc w:val="left"/>
      <w:pPr>
        <w:ind w:left="4362" w:hanging="348"/>
      </w:pPr>
      <w:rPr>
        <w:rFonts w:hint="default"/>
        <w:lang w:val="pt-PT" w:eastAsia="en-US" w:bidi="ar-SA"/>
      </w:rPr>
    </w:lvl>
    <w:lvl w:ilvl="5">
      <w:start w:val="0"/>
      <w:numFmt w:val="bullet"/>
      <w:lvlText w:val="•"/>
      <w:lvlJc w:val="left"/>
      <w:pPr>
        <w:ind w:left="5423" w:hanging="348"/>
      </w:pPr>
      <w:rPr>
        <w:rFonts w:hint="default"/>
        <w:lang w:val="pt-PT" w:eastAsia="en-US" w:bidi="ar-SA"/>
      </w:rPr>
    </w:lvl>
    <w:lvl w:ilvl="6">
      <w:start w:val="0"/>
      <w:numFmt w:val="bullet"/>
      <w:lvlText w:val="•"/>
      <w:lvlJc w:val="left"/>
      <w:pPr>
        <w:ind w:left="6483" w:hanging="348"/>
      </w:pPr>
      <w:rPr>
        <w:rFonts w:hint="default"/>
        <w:lang w:val="pt-PT" w:eastAsia="en-US" w:bidi="ar-SA"/>
      </w:rPr>
    </w:lvl>
    <w:lvl w:ilvl="7">
      <w:start w:val="0"/>
      <w:numFmt w:val="bullet"/>
      <w:lvlText w:val="•"/>
      <w:lvlJc w:val="left"/>
      <w:pPr>
        <w:ind w:left="7544" w:hanging="348"/>
      </w:pPr>
      <w:rPr>
        <w:rFonts w:hint="default"/>
        <w:lang w:val="pt-PT" w:eastAsia="en-US" w:bidi="ar-SA"/>
      </w:rPr>
    </w:lvl>
    <w:lvl w:ilvl="8">
      <w:start w:val="0"/>
      <w:numFmt w:val="bullet"/>
      <w:lvlText w:val="•"/>
      <w:lvlJc w:val="left"/>
      <w:pPr>
        <w:ind w:left="8605" w:hanging="348"/>
      </w:pPr>
      <w:rPr>
        <w:rFonts w:hint="default"/>
        <w:lang w:val="pt-PT" w:eastAsia="en-US" w:bidi="ar-SA"/>
      </w:rPr>
    </w:lvl>
  </w:abstractNum>
  <w:abstractNum w:abstractNumId="2">
    <w:multiLevelType w:val="hybridMultilevel"/>
    <w:lvl w:ilvl="0">
      <w:start w:val="1"/>
      <w:numFmt w:val="decimal"/>
      <w:lvlText w:val="%1"/>
      <w:lvlJc w:val="left"/>
      <w:pPr>
        <w:ind w:left="117" w:hanging="176"/>
        <w:jc w:val="left"/>
      </w:pPr>
      <w:rPr>
        <w:rFonts w:hint="default" w:ascii="Arial" w:hAnsi="Arial" w:eastAsia="Arial" w:cs="Arial"/>
        <w:b/>
        <w:bCs/>
        <w:w w:val="99"/>
        <w:sz w:val="20"/>
        <w:szCs w:val="20"/>
        <w:lang w:val="pt-PT" w:eastAsia="en-US" w:bidi="ar-SA"/>
      </w:rPr>
    </w:lvl>
    <w:lvl w:ilvl="1">
      <w:start w:val="0"/>
      <w:numFmt w:val="bullet"/>
      <w:lvlText w:val="•"/>
      <w:lvlJc w:val="left"/>
      <w:pPr>
        <w:ind w:left="1180" w:hanging="176"/>
      </w:pPr>
      <w:rPr>
        <w:rFonts w:hint="default"/>
        <w:lang w:val="pt-PT" w:eastAsia="en-US" w:bidi="ar-SA"/>
      </w:rPr>
    </w:lvl>
    <w:lvl w:ilvl="2">
      <w:start w:val="0"/>
      <w:numFmt w:val="bullet"/>
      <w:lvlText w:val="•"/>
      <w:lvlJc w:val="left"/>
      <w:pPr>
        <w:ind w:left="2241" w:hanging="176"/>
      </w:pPr>
      <w:rPr>
        <w:rFonts w:hint="default"/>
        <w:lang w:val="pt-PT" w:eastAsia="en-US" w:bidi="ar-SA"/>
      </w:rPr>
    </w:lvl>
    <w:lvl w:ilvl="3">
      <w:start w:val="0"/>
      <w:numFmt w:val="bullet"/>
      <w:lvlText w:val="•"/>
      <w:lvlJc w:val="left"/>
      <w:pPr>
        <w:ind w:left="3301" w:hanging="176"/>
      </w:pPr>
      <w:rPr>
        <w:rFonts w:hint="default"/>
        <w:lang w:val="pt-PT" w:eastAsia="en-US" w:bidi="ar-SA"/>
      </w:rPr>
    </w:lvl>
    <w:lvl w:ilvl="4">
      <w:start w:val="0"/>
      <w:numFmt w:val="bullet"/>
      <w:lvlText w:val="•"/>
      <w:lvlJc w:val="left"/>
      <w:pPr>
        <w:ind w:left="4362" w:hanging="176"/>
      </w:pPr>
      <w:rPr>
        <w:rFonts w:hint="default"/>
        <w:lang w:val="pt-PT" w:eastAsia="en-US" w:bidi="ar-SA"/>
      </w:rPr>
    </w:lvl>
    <w:lvl w:ilvl="5">
      <w:start w:val="0"/>
      <w:numFmt w:val="bullet"/>
      <w:lvlText w:val="•"/>
      <w:lvlJc w:val="left"/>
      <w:pPr>
        <w:ind w:left="5423" w:hanging="176"/>
      </w:pPr>
      <w:rPr>
        <w:rFonts w:hint="default"/>
        <w:lang w:val="pt-PT" w:eastAsia="en-US" w:bidi="ar-SA"/>
      </w:rPr>
    </w:lvl>
    <w:lvl w:ilvl="6">
      <w:start w:val="0"/>
      <w:numFmt w:val="bullet"/>
      <w:lvlText w:val="•"/>
      <w:lvlJc w:val="left"/>
      <w:pPr>
        <w:ind w:left="6483" w:hanging="176"/>
      </w:pPr>
      <w:rPr>
        <w:rFonts w:hint="default"/>
        <w:lang w:val="pt-PT" w:eastAsia="en-US" w:bidi="ar-SA"/>
      </w:rPr>
    </w:lvl>
    <w:lvl w:ilvl="7">
      <w:start w:val="0"/>
      <w:numFmt w:val="bullet"/>
      <w:lvlText w:val="•"/>
      <w:lvlJc w:val="left"/>
      <w:pPr>
        <w:ind w:left="7544" w:hanging="176"/>
      </w:pPr>
      <w:rPr>
        <w:rFonts w:hint="default"/>
        <w:lang w:val="pt-PT" w:eastAsia="en-US" w:bidi="ar-SA"/>
      </w:rPr>
    </w:lvl>
    <w:lvl w:ilvl="8">
      <w:start w:val="0"/>
      <w:numFmt w:val="bullet"/>
      <w:lvlText w:val="•"/>
      <w:lvlJc w:val="left"/>
      <w:pPr>
        <w:ind w:left="8605" w:hanging="176"/>
      </w:pPr>
      <w:rPr>
        <w:rFonts w:hint="default"/>
        <w:lang w:val="pt-PT" w:eastAsia="en-US" w:bidi="ar-SA"/>
      </w:rPr>
    </w:lvl>
  </w:abstractNum>
  <w:abstractNum w:abstractNumId="1">
    <w:multiLevelType w:val="hybridMultilevel"/>
    <w:lvl w:ilvl="0">
      <w:start w:val="1"/>
      <w:numFmt w:val="upperRoman"/>
      <w:lvlText w:val="%1"/>
      <w:lvlJc w:val="left"/>
      <w:pPr>
        <w:ind w:left="1080" w:hanging="111"/>
        <w:jc w:val="left"/>
      </w:pPr>
      <w:rPr>
        <w:rFonts w:hint="default" w:ascii="Arial" w:hAnsi="Arial" w:eastAsia="Arial" w:cs="Arial"/>
        <w:b/>
        <w:bCs/>
        <w:w w:val="99"/>
        <w:sz w:val="20"/>
        <w:szCs w:val="20"/>
        <w:lang w:val="pt-PT" w:eastAsia="en-US" w:bidi="ar-SA"/>
      </w:rPr>
    </w:lvl>
    <w:lvl w:ilvl="1">
      <w:start w:val="0"/>
      <w:numFmt w:val="bullet"/>
      <w:lvlText w:val="•"/>
      <w:lvlJc w:val="left"/>
      <w:pPr>
        <w:ind w:left="2044" w:hanging="111"/>
      </w:pPr>
      <w:rPr>
        <w:rFonts w:hint="default"/>
        <w:lang w:val="pt-PT" w:eastAsia="en-US" w:bidi="ar-SA"/>
      </w:rPr>
    </w:lvl>
    <w:lvl w:ilvl="2">
      <w:start w:val="0"/>
      <w:numFmt w:val="bullet"/>
      <w:lvlText w:val="•"/>
      <w:lvlJc w:val="left"/>
      <w:pPr>
        <w:ind w:left="3009" w:hanging="111"/>
      </w:pPr>
      <w:rPr>
        <w:rFonts w:hint="default"/>
        <w:lang w:val="pt-PT" w:eastAsia="en-US" w:bidi="ar-SA"/>
      </w:rPr>
    </w:lvl>
    <w:lvl w:ilvl="3">
      <w:start w:val="0"/>
      <w:numFmt w:val="bullet"/>
      <w:lvlText w:val="•"/>
      <w:lvlJc w:val="left"/>
      <w:pPr>
        <w:ind w:left="3973" w:hanging="111"/>
      </w:pPr>
      <w:rPr>
        <w:rFonts w:hint="default"/>
        <w:lang w:val="pt-PT" w:eastAsia="en-US" w:bidi="ar-SA"/>
      </w:rPr>
    </w:lvl>
    <w:lvl w:ilvl="4">
      <w:start w:val="0"/>
      <w:numFmt w:val="bullet"/>
      <w:lvlText w:val="•"/>
      <w:lvlJc w:val="left"/>
      <w:pPr>
        <w:ind w:left="4938" w:hanging="111"/>
      </w:pPr>
      <w:rPr>
        <w:rFonts w:hint="default"/>
        <w:lang w:val="pt-PT" w:eastAsia="en-US" w:bidi="ar-SA"/>
      </w:rPr>
    </w:lvl>
    <w:lvl w:ilvl="5">
      <w:start w:val="0"/>
      <w:numFmt w:val="bullet"/>
      <w:lvlText w:val="•"/>
      <w:lvlJc w:val="left"/>
      <w:pPr>
        <w:ind w:left="5903" w:hanging="111"/>
      </w:pPr>
      <w:rPr>
        <w:rFonts w:hint="default"/>
        <w:lang w:val="pt-PT" w:eastAsia="en-US" w:bidi="ar-SA"/>
      </w:rPr>
    </w:lvl>
    <w:lvl w:ilvl="6">
      <w:start w:val="0"/>
      <w:numFmt w:val="bullet"/>
      <w:lvlText w:val="•"/>
      <w:lvlJc w:val="left"/>
      <w:pPr>
        <w:ind w:left="6867" w:hanging="111"/>
      </w:pPr>
      <w:rPr>
        <w:rFonts w:hint="default"/>
        <w:lang w:val="pt-PT" w:eastAsia="en-US" w:bidi="ar-SA"/>
      </w:rPr>
    </w:lvl>
    <w:lvl w:ilvl="7">
      <w:start w:val="0"/>
      <w:numFmt w:val="bullet"/>
      <w:lvlText w:val="•"/>
      <w:lvlJc w:val="left"/>
      <w:pPr>
        <w:ind w:left="7832" w:hanging="111"/>
      </w:pPr>
      <w:rPr>
        <w:rFonts w:hint="default"/>
        <w:lang w:val="pt-PT" w:eastAsia="en-US" w:bidi="ar-SA"/>
      </w:rPr>
    </w:lvl>
    <w:lvl w:ilvl="8">
      <w:start w:val="0"/>
      <w:numFmt w:val="bullet"/>
      <w:lvlText w:val="•"/>
      <w:lvlJc w:val="left"/>
      <w:pPr>
        <w:ind w:left="8797" w:hanging="111"/>
      </w:pPr>
      <w:rPr>
        <w:rFonts w:hint="default"/>
        <w:lang w:val="pt-PT" w:eastAsia="en-US" w:bidi="ar-SA"/>
      </w:rPr>
    </w:lvl>
  </w:abstractNum>
  <w:num w:numId="1">
    <w:abstractNumId w:val="0"/>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ind w:left="117"/>
      <w:jc w:val="both"/>
    </w:pPr>
    <w:rPr>
      <w:rFonts w:ascii="Arial" w:hAnsi="Arial" w:eastAsia="Arial" w:cs="Arial"/>
      <w:sz w:val="20"/>
      <w:szCs w:val="20"/>
      <w:lang w:val="pt-PT" w:eastAsia="en-US" w:bidi="ar-SA"/>
    </w:rPr>
  </w:style>
  <w:style w:styleId="Heading1" w:type="paragraph">
    <w:name w:val="Heading 1"/>
    <w:basedOn w:val="Normal"/>
    <w:uiPriority w:val="1"/>
    <w:qFormat/>
    <w:pPr>
      <w:spacing w:line="228" w:lineRule="exact"/>
      <w:ind w:left="970"/>
      <w:jc w:val="both"/>
      <w:outlineLvl w:val="1"/>
    </w:pPr>
    <w:rPr>
      <w:rFonts w:ascii="Arial" w:hAnsi="Arial" w:eastAsia="Arial" w:cs="Arial"/>
      <w:b/>
      <w:bCs/>
      <w:sz w:val="20"/>
      <w:szCs w:val="20"/>
      <w:lang w:val="pt-PT" w:eastAsia="en-US" w:bidi="ar-SA"/>
    </w:rPr>
  </w:style>
  <w:style w:styleId="Title" w:type="paragraph">
    <w:name w:val="Title"/>
    <w:basedOn w:val="Normal"/>
    <w:uiPriority w:val="1"/>
    <w:qFormat/>
    <w:pPr>
      <w:ind w:left="2779" w:right="2149" w:firstLine="749"/>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117" w:firstLine="852"/>
      <w:jc w:val="both"/>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O.B.1. Canobi</dc:creator>
  <dc:title>3</dc:title>
  <dcterms:created xsi:type="dcterms:W3CDTF">2021-03-31T19:03:36Z</dcterms:created>
  <dcterms:modified xsi:type="dcterms:W3CDTF">2021-03-31T19:03:36Z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2015-08-20T00:00:00Z</vt:filetime>
  </property>
  <property fmtid="{D5CDD505-2E9C-101B-9397-08002B2CF9AE}" pid="3" name="Creator">
    <vt:lpwstr>Microsoft® Word 2010</vt:lpwstr>
  </property>
  <property fmtid="{D5CDD505-2E9C-101B-9397-08002B2CF9AE}" pid="4" name="LastSaved">
    <vt:filetime>2021-03-31T00:00:00Z</vt:filetime>
  </property>
</Properties>
</file>